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D1006" w14:textId="5F72EFF5" w:rsidR="002B7C7B" w:rsidRPr="003F2F80" w:rsidRDefault="00316501" w:rsidP="00E564F2">
      <w:pPr>
        <w:spacing w:after="120" w:line="240" w:lineRule="auto"/>
        <w:rPr>
          <w:b/>
          <w:bCs/>
          <w:u w:val="single"/>
          <w:lang w:val="en-US"/>
        </w:rPr>
      </w:pPr>
      <w:r w:rsidRPr="003F2F80">
        <w:rPr>
          <w:b/>
          <w:bCs/>
          <w:u w:val="single"/>
          <w:lang w:val="en-US"/>
        </w:rPr>
        <w:t>Learner Assessment of Clinical Teachers</w:t>
      </w:r>
      <w:r>
        <w:rPr>
          <w:b/>
          <w:bCs/>
          <w:u w:val="single"/>
          <w:lang w:val="en-US"/>
        </w:rPr>
        <w:t xml:space="preserve"> (LACT) – FAQ for Site/Division Heads</w:t>
      </w:r>
    </w:p>
    <w:p w14:paraId="2A6AD095" w14:textId="77777777" w:rsidR="00316501" w:rsidRDefault="00316501" w:rsidP="00BB4610">
      <w:pPr>
        <w:spacing w:before="360" w:after="120" w:line="240" w:lineRule="auto"/>
        <w:rPr>
          <w:b/>
          <w:bCs/>
          <w:lang w:val="en-US"/>
        </w:rPr>
      </w:pPr>
      <w:r>
        <w:rPr>
          <w:b/>
          <w:bCs/>
          <w:lang w:val="en-US"/>
        </w:rPr>
        <w:t>What is this tool and what does the report say?</w:t>
      </w:r>
    </w:p>
    <w:p w14:paraId="0A8A5221" w14:textId="77777777" w:rsidR="00E564F2" w:rsidRDefault="00E564F2" w:rsidP="00E564F2">
      <w:pPr>
        <w:snapToGrid w:val="0"/>
        <w:spacing w:after="120" w:line="240" w:lineRule="auto"/>
      </w:pPr>
      <w:r>
        <w:rPr>
          <w:lang w:val="en-US"/>
        </w:rPr>
        <w:t xml:space="preserve">The Learner Assessment of Clinical Teachers (LACT) is a quality improvement based assessment of clinical teaching. The LACT tool replaced the former TES in 2020. </w:t>
      </w:r>
    </w:p>
    <w:p w14:paraId="241B4388" w14:textId="39D4952F" w:rsidR="00E564F2" w:rsidRPr="00E564F2" w:rsidRDefault="00E564F2" w:rsidP="00E564F2">
      <w:pPr>
        <w:snapToGrid w:val="0"/>
        <w:spacing w:after="120" w:line="240" w:lineRule="auto"/>
      </w:pPr>
      <w:r>
        <w:t>After three assessments and suitable delay to maintain learner anonymity, a LACT report will be generated based on that academic year.</w:t>
      </w:r>
      <w:r w:rsidRPr="00B121E1">
        <w:t xml:space="preserve"> </w:t>
      </w:r>
      <w:r w:rsidRPr="00D459E9">
        <w:t xml:space="preserve">Data </w:t>
      </w:r>
      <w:r>
        <w:t>will</w:t>
      </w:r>
      <w:r w:rsidRPr="00D459E9">
        <w:t xml:space="preserve"> </w:t>
      </w:r>
      <w:r>
        <w:t xml:space="preserve">be </w:t>
      </w:r>
      <w:r w:rsidRPr="00D459E9">
        <w:t>consolidated and provided back to individual teachers and education leaders to inform teacher performance, both in terms of any teacher supports required or recognition for exceptional performance. </w:t>
      </w:r>
      <w:r w:rsidRPr="00D459E9">
        <w:rPr>
          <w:i/>
          <w:iCs/>
        </w:rPr>
        <w:t>It is important to note that </w:t>
      </w:r>
      <w:r w:rsidRPr="00D459E9">
        <w:rPr>
          <w:b/>
          <w:bCs/>
          <w:i/>
          <w:iCs/>
        </w:rPr>
        <w:t>the LACT is intended as one of multiple measures used to assess teacher performance.</w:t>
      </w:r>
    </w:p>
    <w:p w14:paraId="44FA7B78" w14:textId="77777777" w:rsidR="00E564F2" w:rsidRPr="008559F8" w:rsidRDefault="00E564F2" w:rsidP="00BB4610">
      <w:pPr>
        <w:snapToGrid w:val="0"/>
        <w:spacing w:before="360" w:after="120" w:line="240" w:lineRule="auto"/>
        <w:rPr>
          <w:b/>
          <w:bCs/>
        </w:rPr>
      </w:pPr>
      <w:r w:rsidRPr="008559F8">
        <w:rPr>
          <w:b/>
          <w:bCs/>
          <w:lang w:val="en-US"/>
        </w:rPr>
        <w:t>Goals:</w:t>
      </w:r>
    </w:p>
    <w:p w14:paraId="585F73DF" w14:textId="77777777" w:rsidR="00E564F2" w:rsidRPr="00404501" w:rsidRDefault="00E564F2" w:rsidP="00E564F2">
      <w:pPr>
        <w:pStyle w:val="ListParagraph"/>
        <w:numPr>
          <w:ilvl w:val="0"/>
          <w:numId w:val="2"/>
        </w:numPr>
        <w:snapToGrid w:val="0"/>
        <w:spacing w:after="0" w:line="240" w:lineRule="auto"/>
        <w:ind w:left="714" w:hanging="357"/>
        <w:contextualSpacing w:val="0"/>
      </w:pPr>
      <w:r w:rsidRPr="00E17F50">
        <w:t xml:space="preserve">To </w:t>
      </w:r>
      <w:r>
        <w:t>provide</w:t>
      </w:r>
      <w:r w:rsidRPr="00E17F50">
        <w:t xml:space="preserve"> formative feedback rather than high stakes assessment</w:t>
      </w:r>
    </w:p>
    <w:p w14:paraId="60ED2493" w14:textId="77777777" w:rsidR="00E564F2" w:rsidRPr="00404501" w:rsidRDefault="00E564F2" w:rsidP="00E564F2">
      <w:pPr>
        <w:pStyle w:val="ListParagraph"/>
        <w:numPr>
          <w:ilvl w:val="0"/>
          <w:numId w:val="2"/>
        </w:numPr>
        <w:snapToGrid w:val="0"/>
        <w:spacing w:after="0" w:line="240" w:lineRule="auto"/>
        <w:ind w:left="714" w:hanging="357"/>
        <w:contextualSpacing w:val="0"/>
      </w:pPr>
      <w:r w:rsidRPr="00E17F50">
        <w:t>To optimize number of teachers receiving feedback</w:t>
      </w:r>
    </w:p>
    <w:p w14:paraId="04A11132" w14:textId="77777777" w:rsidR="00E564F2" w:rsidRPr="00404501" w:rsidRDefault="00E564F2" w:rsidP="00E564F2">
      <w:pPr>
        <w:pStyle w:val="ListParagraph"/>
        <w:numPr>
          <w:ilvl w:val="0"/>
          <w:numId w:val="2"/>
        </w:numPr>
        <w:snapToGrid w:val="0"/>
        <w:spacing w:after="0" w:line="240" w:lineRule="auto"/>
        <w:ind w:left="714" w:hanging="357"/>
        <w:contextualSpacing w:val="0"/>
      </w:pPr>
      <w:r w:rsidRPr="00E17F50">
        <w:t xml:space="preserve">To </w:t>
      </w:r>
      <w:r>
        <w:t>give</w:t>
      </w:r>
      <w:r w:rsidRPr="00E17F50">
        <w:t xml:space="preserve"> opportunity for ‘on demand’ assessment of clinical teachers (eg. after a single shift/half-day, seminar or small-group teaching, </w:t>
      </w:r>
      <w:proofErr w:type="spellStart"/>
      <w:r w:rsidRPr="00E17F50">
        <w:t>etc</w:t>
      </w:r>
      <w:proofErr w:type="spellEnd"/>
      <w:r w:rsidRPr="00E17F50">
        <w:t>)</w:t>
      </w:r>
    </w:p>
    <w:p w14:paraId="321D4CF5" w14:textId="77777777" w:rsidR="00E564F2" w:rsidRDefault="00E564F2" w:rsidP="00E564F2">
      <w:pPr>
        <w:pStyle w:val="ListParagraph"/>
        <w:numPr>
          <w:ilvl w:val="0"/>
          <w:numId w:val="2"/>
        </w:numPr>
        <w:snapToGrid w:val="0"/>
        <w:spacing w:after="120" w:line="240" w:lineRule="auto"/>
        <w:contextualSpacing w:val="0"/>
      </w:pPr>
      <w:r w:rsidRPr="00E17F50">
        <w:t xml:space="preserve">To </w:t>
      </w:r>
      <w:r>
        <w:t xml:space="preserve">harmonize assessments across programs and platforms </w:t>
      </w:r>
      <w:r w:rsidRPr="00E17F50">
        <w:t>(</w:t>
      </w:r>
      <w:proofErr w:type="spellStart"/>
      <w:r w:rsidRPr="00E17F50">
        <w:t>MedSIS</w:t>
      </w:r>
      <w:proofErr w:type="spellEnd"/>
      <w:r w:rsidRPr="00E17F50">
        <w:t>, Elentra, POWER)</w:t>
      </w:r>
    </w:p>
    <w:p w14:paraId="7DA1FD12" w14:textId="77777777" w:rsidR="00316501" w:rsidRDefault="00316501" w:rsidP="00BB4610">
      <w:pPr>
        <w:spacing w:before="360" w:after="120" w:line="240" w:lineRule="auto"/>
        <w:rPr>
          <w:b/>
          <w:bCs/>
        </w:rPr>
      </w:pPr>
      <w:r>
        <w:rPr>
          <w:b/>
          <w:bCs/>
        </w:rPr>
        <w:t>What should I do with this data?</w:t>
      </w:r>
    </w:p>
    <w:p w14:paraId="4A76A9C1" w14:textId="67DE4CB4" w:rsidR="00316501" w:rsidRDefault="00316501" w:rsidP="00E564F2">
      <w:pPr>
        <w:spacing w:after="120" w:line="240" w:lineRule="auto"/>
      </w:pPr>
      <w:r>
        <w:t>The data should be reviewed holistically along with other sources of information if available (which can include</w:t>
      </w:r>
      <w:r w:rsidR="00072FB5">
        <w:t>,</w:t>
      </w:r>
      <w:r>
        <w:t xml:space="preserve"> but</w:t>
      </w:r>
      <w:r w:rsidR="00072FB5">
        <w:t xml:space="preserve"> is</w:t>
      </w:r>
      <w:r>
        <w:t xml:space="preserve"> not limited to</w:t>
      </w:r>
      <w:r w:rsidR="00072FB5">
        <w:t>,</w:t>
      </w:r>
      <w:r>
        <w:t xml:space="preserve"> reviews of classroom teaching, participation in education activities such as curriculum development, assessment information, peer review, formal/informal qualitative feedback etc.). The goal is to review trends overtime and any dramatic shifts including increases, decreases, and outliers. You may wish to contextualize the LACT data for a teacher against data for the whole site/rotation.</w:t>
      </w:r>
    </w:p>
    <w:p w14:paraId="455B2183" w14:textId="77777777" w:rsidR="00316501" w:rsidRDefault="00316501" w:rsidP="00BB4610">
      <w:pPr>
        <w:spacing w:before="360" w:after="120" w:line="240" w:lineRule="auto"/>
        <w:rPr>
          <w:b/>
          <w:bCs/>
        </w:rPr>
      </w:pPr>
      <w:r>
        <w:rPr>
          <w:b/>
          <w:bCs/>
        </w:rPr>
        <w:t>What actions should I take?</w:t>
      </w:r>
    </w:p>
    <w:p w14:paraId="5421749B" w14:textId="5FA65C2B" w:rsidR="00316501" w:rsidRDefault="00BB4610" w:rsidP="00E564F2">
      <w:pPr>
        <w:spacing w:after="120" w:line="240" w:lineRule="auto"/>
      </w:pPr>
      <w:r>
        <w:t xml:space="preserve">Review faculty reports and disseminate them to individual teachers. Identify any teachers for whom LACT indicates superior performance that can be used in support of teaching awards and promotion. </w:t>
      </w:r>
      <w:r w:rsidR="00316501">
        <w:t xml:space="preserve">Determine if there are any teachers who are low or trending downwards on their LACT scores that may require check-ins. </w:t>
      </w:r>
      <w:r>
        <w:t xml:space="preserve">Faculty may contest their LACT for inaccuracy, mitigating circumstances etc. Investigate and meet with any faculty </w:t>
      </w:r>
      <w:r w:rsidR="00A04B64">
        <w:t xml:space="preserve">identified as </w:t>
      </w:r>
      <w:r>
        <w:t xml:space="preserve">needing attention or monitoring. </w:t>
      </w:r>
      <w:r w:rsidR="00316501">
        <w:t xml:space="preserve">Review LACT </w:t>
      </w:r>
      <w:r w:rsidR="00A04B64">
        <w:t>reports</w:t>
      </w:r>
      <w:r w:rsidR="00316501">
        <w:t xml:space="preserve"> with faculty during their </w:t>
      </w:r>
      <w:r w:rsidR="00A04B64">
        <w:t>periodic</w:t>
      </w:r>
      <w:r w:rsidR="00316501">
        <w:t xml:space="preserve"> review as a formative exercise. </w:t>
      </w:r>
    </w:p>
    <w:p w14:paraId="22834C3B" w14:textId="77777777" w:rsidR="00316501" w:rsidRDefault="00316501" w:rsidP="00BB4610">
      <w:pPr>
        <w:spacing w:before="360" w:after="120" w:line="240" w:lineRule="auto"/>
        <w:rPr>
          <w:b/>
          <w:bCs/>
        </w:rPr>
      </w:pPr>
      <w:r>
        <w:rPr>
          <w:b/>
          <w:bCs/>
        </w:rPr>
        <w:t xml:space="preserve">Who can I turn to for help? </w:t>
      </w:r>
    </w:p>
    <w:p w14:paraId="15F632DD" w14:textId="356C9938" w:rsidR="00671462" w:rsidRDefault="00316501" w:rsidP="00E564F2">
      <w:pPr>
        <w:spacing w:after="120" w:line="240" w:lineRule="auto"/>
      </w:pPr>
      <w:r>
        <w:t xml:space="preserve">PG and UG </w:t>
      </w:r>
      <w:r w:rsidR="00A66CC1">
        <w:t>P</w:t>
      </w:r>
      <w:r>
        <w:t xml:space="preserve">rogram </w:t>
      </w:r>
      <w:r w:rsidR="00A66CC1">
        <w:t>and Site D</w:t>
      </w:r>
      <w:r>
        <w:t xml:space="preserve">irectors, FD leads, and </w:t>
      </w:r>
      <w:r w:rsidR="00A66CC1">
        <w:t>Site/Division Heads</w:t>
      </w:r>
      <w:r>
        <w:t xml:space="preserve"> can be resources for supporting faculty members. Dr. David Rojas, Director of the Office of Assessment and Evaluation in the MD program, can assist with questions regarding the interpretation and use of LACT. The appeals and challenge process can be discussed with the Vice-Chair Education. </w:t>
      </w:r>
      <w:r w:rsidR="00075818">
        <w:t xml:space="preserve"> Please refer to the document “Process and Resources for Underperforming Faculty: A DFCM guide for Site and Division Heads, Program Directors and other Educational Leaders” for guidance on teachers that may need monitoring or need attention.</w:t>
      </w:r>
    </w:p>
    <w:p w14:paraId="1935EC9F" w14:textId="77777777" w:rsidR="00E564F2" w:rsidRDefault="00E564F2" w:rsidP="00E564F2">
      <w:pPr>
        <w:spacing w:after="120" w:line="240" w:lineRule="auto"/>
      </w:pPr>
    </w:p>
    <w:p w14:paraId="5DFC6A97" w14:textId="2CE8D8B5" w:rsidR="00E564F2" w:rsidRPr="00E564F2" w:rsidRDefault="00671462" w:rsidP="00E564F2">
      <w:pPr>
        <w:textAlignment w:val="baseline"/>
        <w:rPr>
          <w:rFonts w:ascii="Calibri" w:eastAsia="+mn-ea" w:hAnsi="Calibri" w:cs="Arial"/>
          <w:b/>
          <w:bCs/>
          <w:color w:val="000000"/>
          <w:kern w:val="24"/>
          <w:position w:val="1"/>
          <w:sz w:val="28"/>
          <w:szCs w:val="28"/>
        </w:rPr>
      </w:pPr>
      <w:r w:rsidRPr="00671462">
        <w:rPr>
          <w:rFonts w:ascii="Calibri" w:eastAsia="+mn-ea" w:hAnsi="Calibri" w:cs="Arial"/>
          <w:b/>
          <w:bCs/>
          <w:color w:val="000000"/>
          <w:kern w:val="24"/>
          <w:position w:val="1"/>
          <w:sz w:val="28"/>
          <w:szCs w:val="28"/>
        </w:rPr>
        <w:lastRenderedPageBreak/>
        <w:t xml:space="preserve">Identification of Thresholds to Guide Faculty Feedback </w:t>
      </w:r>
    </w:p>
    <w:tbl>
      <w:tblPr>
        <w:tblStyle w:val="GridTable4-Accent1"/>
        <w:tblW w:w="0" w:type="auto"/>
        <w:tblLook w:val="04A0" w:firstRow="1" w:lastRow="0" w:firstColumn="1" w:lastColumn="0" w:noHBand="0" w:noVBand="1"/>
      </w:tblPr>
      <w:tblGrid>
        <w:gridCol w:w="2830"/>
        <w:gridCol w:w="6237"/>
      </w:tblGrid>
      <w:tr w:rsidR="00E564F2" w14:paraId="56DC4871" w14:textId="77777777" w:rsidTr="00CA2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792157F" w14:textId="77777777" w:rsidR="00E564F2" w:rsidRPr="00B35C86" w:rsidRDefault="00E564F2" w:rsidP="00CA2347">
            <w:pPr>
              <w:rPr>
                <w:lang w:val="en-US"/>
              </w:rPr>
            </w:pPr>
            <w:r w:rsidRPr="00B35C86">
              <w:rPr>
                <w:lang w:val="en-US"/>
              </w:rPr>
              <w:t>Category</w:t>
            </w:r>
          </w:p>
        </w:tc>
        <w:tc>
          <w:tcPr>
            <w:tcW w:w="6237" w:type="dxa"/>
            <w:vAlign w:val="center"/>
          </w:tcPr>
          <w:p w14:paraId="7A4F7F87" w14:textId="77777777" w:rsidR="00E564F2" w:rsidRPr="00B35C86" w:rsidRDefault="00E564F2" w:rsidP="00CA2347">
            <w:pPr>
              <w:cnfStyle w:val="100000000000" w:firstRow="1" w:lastRow="0" w:firstColumn="0" w:lastColumn="0" w:oddVBand="0" w:evenVBand="0" w:oddHBand="0" w:evenHBand="0" w:firstRowFirstColumn="0" w:firstRowLastColumn="0" w:lastRowFirstColumn="0" w:lastRowLastColumn="0"/>
              <w:rPr>
                <w:lang w:val="en-US"/>
              </w:rPr>
            </w:pPr>
            <w:r w:rsidRPr="00B35C86">
              <w:rPr>
                <w:lang w:val="en-US"/>
              </w:rPr>
              <w:t>Methodology</w:t>
            </w:r>
          </w:p>
        </w:tc>
      </w:tr>
      <w:tr w:rsidR="00E564F2" w14:paraId="64566957" w14:textId="77777777" w:rsidTr="00CA2347">
        <w:trPr>
          <w:cnfStyle w:val="000000100000" w:firstRow="0" w:lastRow="0" w:firstColumn="0" w:lastColumn="0" w:oddVBand="0" w:evenVBand="0" w:oddHBand="1" w:evenHBand="0" w:firstRowFirstColumn="0" w:firstRowLastColumn="0" w:lastRowFirstColumn="0" w:lastRowLastColumn="0"/>
          <w:trHeight w:val="2041"/>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BD3EE31" w14:textId="77777777" w:rsidR="00E564F2" w:rsidRPr="00B35C86" w:rsidRDefault="00E564F2" w:rsidP="00CA2347">
            <w:pPr>
              <w:rPr>
                <w:lang w:val="en-US"/>
              </w:rPr>
            </w:pPr>
            <w:r w:rsidRPr="00B35C86">
              <w:rPr>
                <w:lang w:val="en-US"/>
              </w:rPr>
              <w:t>Attention</w:t>
            </w:r>
            <w:r>
              <w:rPr>
                <w:lang w:val="en-US"/>
              </w:rPr>
              <w:t xml:space="preserve"> Needed</w:t>
            </w:r>
          </w:p>
        </w:tc>
        <w:tc>
          <w:tcPr>
            <w:tcW w:w="6237" w:type="dxa"/>
            <w:vAlign w:val="center"/>
          </w:tcPr>
          <w:p w14:paraId="6C65B127" w14:textId="77777777" w:rsidR="00E564F2" w:rsidRPr="00C407B9" w:rsidRDefault="00E564F2" w:rsidP="00E564F2">
            <w:pPr>
              <w:pStyle w:val="ListParagraph"/>
              <w:numPr>
                <w:ilvl w:val="0"/>
                <w:numId w:val="4"/>
              </w:numPr>
              <w:ind w:left="314" w:hanging="283"/>
              <w:cnfStyle w:val="000000100000" w:firstRow="0" w:lastRow="0" w:firstColumn="0" w:lastColumn="0" w:oddVBand="0" w:evenVBand="0" w:oddHBand="1" w:evenHBand="0" w:firstRowFirstColumn="0" w:firstRowLastColumn="0" w:lastRowFirstColumn="0" w:lastRowLastColumn="0"/>
              <w:rPr>
                <w:sz w:val="20"/>
                <w:szCs w:val="20"/>
                <w:lang w:val="en-US"/>
              </w:rPr>
            </w:pPr>
            <w:r w:rsidRPr="00C407B9">
              <w:rPr>
                <w:sz w:val="20"/>
                <w:szCs w:val="20"/>
                <w:lang w:val="en-US"/>
              </w:rPr>
              <w:t>Minimum 3 assessments</w:t>
            </w:r>
          </w:p>
          <w:p w14:paraId="144A1FD4" w14:textId="77777777" w:rsidR="00E564F2" w:rsidRPr="00C407B9" w:rsidRDefault="00E564F2" w:rsidP="00E564F2">
            <w:pPr>
              <w:pStyle w:val="ListParagraph"/>
              <w:numPr>
                <w:ilvl w:val="0"/>
                <w:numId w:val="4"/>
              </w:numPr>
              <w:ind w:left="314" w:hanging="314"/>
              <w:cnfStyle w:val="000000100000" w:firstRow="0" w:lastRow="0" w:firstColumn="0" w:lastColumn="0" w:oddVBand="0" w:evenVBand="0" w:oddHBand="1" w:evenHBand="0" w:firstRowFirstColumn="0" w:firstRowLastColumn="0" w:lastRowFirstColumn="0" w:lastRowLastColumn="0"/>
              <w:rPr>
                <w:sz w:val="20"/>
                <w:szCs w:val="20"/>
                <w:lang w:val="en-US"/>
              </w:rPr>
            </w:pPr>
            <w:r w:rsidRPr="00C407B9">
              <w:rPr>
                <w:sz w:val="20"/>
                <w:szCs w:val="20"/>
                <w:lang w:val="en-US"/>
              </w:rPr>
              <w:t>33% of assessments rated as Poor, Unsatisfactory or Acceptable</w:t>
            </w:r>
          </w:p>
          <w:p w14:paraId="7AB3C8D3" w14:textId="77777777" w:rsidR="00E564F2" w:rsidRPr="00C407B9" w:rsidRDefault="00E564F2" w:rsidP="00E564F2">
            <w:pPr>
              <w:pStyle w:val="ListParagraph"/>
              <w:numPr>
                <w:ilvl w:val="0"/>
                <w:numId w:val="4"/>
              </w:numPr>
              <w:ind w:left="311" w:hanging="284"/>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rPr>
              <w:t xml:space="preserve">Augmented by prior year results (quantitative and qualitative) </w:t>
            </w:r>
            <w:r w:rsidRPr="00C407B9">
              <w:rPr>
                <w:sz w:val="20"/>
                <w:szCs w:val="20"/>
              </w:rPr>
              <w:t>to determine if this is an ongoing issue or a new concern</w:t>
            </w:r>
          </w:p>
          <w:p w14:paraId="5E2C4B6C" w14:textId="77777777" w:rsidR="00E564F2" w:rsidRPr="00404501" w:rsidRDefault="00E564F2" w:rsidP="00E564F2">
            <w:pPr>
              <w:pStyle w:val="ListParagraph"/>
              <w:numPr>
                <w:ilvl w:val="0"/>
                <w:numId w:val="4"/>
              </w:numPr>
              <w:ind w:left="311" w:hanging="284"/>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404501">
              <w:rPr>
                <w:b/>
                <w:bCs/>
                <w:sz w:val="20"/>
                <w:szCs w:val="20"/>
                <w:lang w:val="en-US"/>
              </w:rPr>
              <w:t>Teachers for whom the analysis shows a strong signal around an area for improvement</w:t>
            </w:r>
          </w:p>
        </w:tc>
      </w:tr>
      <w:tr w:rsidR="00E564F2" w14:paraId="20ABC6AF" w14:textId="77777777" w:rsidTr="00CA2347">
        <w:trPr>
          <w:trHeight w:val="2041"/>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2141927" w14:textId="77777777" w:rsidR="00E564F2" w:rsidRPr="00B35C86" w:rsidRDefault="00E564F2" w:rsidP="00CA2347">
            <w:pPr>
              <w:rPr>
                <w:lang w:val="en-US"/>
              </w:rPr>
            </w:pPr>
            <w:r>
              <w:rPr>
                <w:lang w:val="en-US"/>
              </w:rPr>
              <w:t>Suggested</w:t>
            </w:r>
            <w:r w:rsidRPr="00B35C86">
              <w:rPr>
                <w:lang w:val="en-US"/>
              </w:rPr>
              <w:t xml:space="preserve"> Monitoring</w:t>
            </w:r>
          </w:p>
        </w:tc>
        <w:tc>
          <w:tcPr>
            <w:tcW w:w="6237" w:type="dxa"/>
            <w:vAlign w:val="center"/>
          </w:tcPr>
          <w:p w14:paraId="3815D23F" w14:textId="77777777" w:rsidR="00E564F2" w:rsidRPr="00C407B9" w:rsidRDefault="00E564F2" w:rsidP="00E564F2">
            <w:pPr>
              <w:pStyle w:val="ListParagraph"/>
              <w:numPr>
                <w:ilvl w:val="0"/>
                <w:numId w:val="4"/>
              </w:numPr>
              <w:ind w:left="314" w:hanging="283"/>
              <w:cnfStyle w:val="000000000000" w:firstRow="0" w:lastRow="0" w:firstColumn="0" w:lastColumn="0" w:oddVBand="0" w:evenVBand="0" w:oddHBand="0" w:evenHBand="0" w:firstRowFirstColumn="0" w:firstRowLastColumn="0" w:lastRowFirstColumn="0" w:lastRowLastColumn="0"/>
              <w:rPr>
                <w:sz w:val="20"/>
                <w:szCs w:val="20"/>
                <w:lang w:val="en-US"/>
              </w:rPr>
            </w:pPr>
            <w:r w:rsidRPr="00C407B9">
              <w:rPr>
                <w:sz w:val="20"/>
                <w:szCs w:val="20"/>
                <w:lang w:val="en-US"/>
              </w:rPr>
              <w:t>Minimum 3 assessments</w:t>
            </w:r>
          </w:p>
          <w:p w14:paraId="382F9600" w14:textId="77777777" w:rsidR="00E564F2" w:rsidRPr="00C407B9" w:rsidRDefault="00E564F2" w:rsidP="00E564F2">
            <w:pPr>
              <w:pStyle w:val="ListParagraph"/>
              <w:numPr>
                <w:ilvl w:val="0"/>
                <w:numId w:val="4"/>
              </w:numPr>
              <w:ind w:left="314" w:hanging="314"/>
              <w:cnfStyle w:val="000000000000" w:firstRow="0" w:lastRow="0" w:firstColumn="0" w:lastColumn="0" w:oddVBand="0" w:evenVBand="0" w:oddHBand="0" w:evenHBand="0" w:firstRowFirstColumn="0" w:firstRowLastColumn="0" w:lastRowFirstColumn="0" w:lastRowLastColumn="0"/>
              <w:rPr>
                <w:sz w:val="20"/>
                <w:szCs w:val="20"/>
                <w:lang w:val="en-US"/>
              </w:rPr>
            </w:pPr>
            <w:r w:rsidRPr="00C407B9">
              <w:rPr>
                <w:sz w:val="20"/>
                <w:szCs w:val="20"/>
                <w:lang w:val="en-US"/>
              </w:rPr>
              <w:t>33% of assessments rated as Poor, Unsatisfactory or Acceptable</w:t>
            </w:r>
          </w:p>
          <w:p w14:paraId="149A530C" w14:textId="77777777" w:rsidR="00E564F2" w:rsidRPr="00C407B9" w:rsidRDefault="00E564F2" w:rsidP="00E564F2">
            <w:pPr>
              <w:pStyle w:val="ListParagraph"/>
              <w:numPr>
                <w:ilvl w:val="0"/>
                <w:numId w:val="4"/>
              </w:numPr>
              <w:ind w:left="311" w:hanging="284"/>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 xml:space="preserve">Augmented by prior year results (quantitative and qualitative) </w:t>
            </w:r>
            <w:r w:rsidRPr="00C407B9">
              <w:rPr>
                <w:sz w:val="20"/>
                <w:szCs w:val="20"/>
              </w:rPr>
              <w:t>to determine if this is an ongoing issue or a new concern</w:t>
            </w:r>
          </w:p>
          <w:p w14:paraId="7F70AD0D" w14:textId="77777777" w:rsidR="00E564F2" w:rsidRPr="00404501" w:rsidRDefault="00E564F2" w:rsidP="00E564F2">
            <w:pPr>
              <w:pStyle w:val="ListParagraph"/>
              <w:numPr>
                <w:ilvl w:val="0"/>
                <w:numId w:val="5"/>
              </w:numPr>
              <w:ind w:left="311" w:hanging="280"/>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404501">
              <w:rPr>
                <w:b/>
                <w:bCs/>
                <w:sz w:val="20"/>
                <w:szCs w:val="20"/>
                <w:lang w:val="en-US"/>
              </w:rPr>
              <w:t xml:space="preserve">Teachers for whom the analysis shows no clear signal, but their teacher performance data is worrisome </w:t>
            </w:r>
            <w:proofErr w:type="gramStart"/>
            <w:r w:rsidRPr="00404501">
              <w:rPr>
                <w:b/>
                <w:bCs/>
                <w:sz w:val="20"/>
                <w:szCs w:val="20"/>
                <w:lang w:val="en-US"/>
              </w:rPr>
              <w:t>in a given year</w:t>
            </w:r>
            <w:proofErr w:type="gramEnd"/>
            <w:r w:rsidRPr="00404501">
              <w:rPr>
                <w:b/>
                <w:bCs/>
                <w:sz w:val="20"/>
                <w:szCs w:val="20"/>
                <w:lang w:val="en-US"/>
              </w:rPr>
              <w:t xml:space="preserve"> </w:t>
            </w:r>
          </w:p>
        </w:tc>
      </w:tr>
      <w:tr w:rsidR="00E564F2" w14:paraId="4B1392A2" w14:textId="77777777" w:rsidTr="00CA2347">
        <w:trPr>
          <w:cnfStyle w:val="000000100000" w:firstRow="0" w:lastRow="0" w:firstColumn="0" w:lastColumn="0" w:oddVBand="0" w:evenVBand="0" w:oddHBand="1" w:evenHBand="0"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8F1DDE5" w14:textId="77777777" w:rsidR="00E564F2" w:rsidRPr="00B35C86" w:rsidRDefault="00E564F2" w:rsidP="00CA2347">
            <w:pPr>
              <w:rPr>
                <w:lang w:val="en-US"/>
              </w:rPr>
            </w:pPr>
            <w:r w:rsidRPr="00B35C86">
              <w:rPr>
                <w:lang w:val="en-US"/>
              </w:rPr>
              <w:t>Superior Performance</w:t>
            </w:r>
          </w:p>
        </w:tc>
        <w:tc>
          <w:tcPr>
            <w:tcW w:w="6237" w:type="dxa"/>
            <w:vAlign w:val="center"/>
          </w:tcPr>
          <w:p w14:paraId="71DA8E7A" w14:textId="77777777" w:rsidR="00E564F2" w:rsidRPr="00C407B9" w:rsidRDefault="00E564F2" w:rsidP="00E564F2">
            <w:pPr>
              <w:pStyle w:val="ListParagraph"/>
              <w:numPr>
                <w:ilvl w:val="0"/>
                <w:numId w:val="3"/>
              </w:numPr>
              <w:ind w:left="321" w:hanging="283"/>
              <w:cnfStyle w:val="000000100000" w:firstRow="0" w:lastRow="0" w:firstColumn="0" w:lastColumn="0" w:oddVBand="0" w:evenVBand="0" w:oddHBand="1" w:evenHBand="0" w:firstRowFirstColumn="0" w:firstRowLastColumn="0" w:lastRowFirstColumn="0" w:lastRowLastColumn="0"/>
              <w:rPr>
                <w:sz w:val="20"/>
                <w:szCs w:val="20"/>
                <w:lang w:val="en-US"/>
              </w:rPr>
            </w:pPr>
            <w:r w:rsidRPr="00C407B9">
              <w:rPr>
                <w:sz w:val="20"/>
                <w:szCs w:val="20"/>
                <w:lang w:val="en-US"/>
              </w:rPr>
              <w:t>Minimum 5 assessments</w:t>
            </w:r>
          </w:p>
          <w:p w14:paraId="6898DAED" w14:textId="77777777" w:rsidR="00E564F2" w:rsidRPr="003F1983" w:rsidRDefault="00E564F2" w:rsidP="00E564F2">
            <w:pPr>
              <w:pStyle w:val="ListParagraph"/>
              <w:numPr>
                <w:ilvl w:val="0"/>
                <w:numId w:val="3"/>
              </w:numPr>
              <w:ind w:left="321" w:hanging="283"/>
              <w:cnfStyle w:val="000000100000" w:firstRow="0" w:lastRow="0" w:firstColumn="0" w:lastColumn="0" w:oddVBand="0" w:evenVBand="0" w:oddHBand="1" w:evenHBand="0" w:firstRowFirstColumn="0" w:firstRowLastColumn="0" w:lastRowFirstColumn="0" w:lastRowLastColumn="0"/>
              <w:rPr>
                <w:lang w:val="en-US"/>
              </w:rPr>
            </w:pPr>
            <w:r w:rsidRPr="00C407B9">
              <w:rPr>
                <w:sz w:val="20"/>
                <w:szCs w:val="20"/>
                <w:lang w:val="en-US"/>
              </w:rPr>
              <w:t>100% of overall ratings Superior</w:t>
            </w:r>
          </w:p>
        </w:tc>
      </w:tr>
    </w:tbl>
    <w:p w14:paraId="07167454" w14:textId="77777777" w:rsidR="00DD38CD" w:rsidRDefault="00DD38CD"/>
    <w:p w14:paraId="2F1C565F" w14:textId="2DC1EE39" w:rsidR="006815CE" w:rsidRPr="00DD38CD" w:rsidRDefault="00D63EDA">
      <w:pPr>
        <w:rPr>
          <w:rFonts w:ascii="Calibri" w:hAnsi="Calibri" w:cs="Calibri"/>
          <w:b/>
          <w:bCs/>
          <w:sz w:val="28"/>
          <w:szCs w:val="28"/>
        </w:rPr>
      </w:pPr>
      <w:r w:rsidRPr="00DD38CD">
        <w:rPr>
          <w:rFonts w:ascii="Calibri" w:hAnsi="Calibri" w:cs="Calibri"/>
          <w:b/>
          <w:bCs/>
          <w:noProof/>
          <w:sz w:val="28"/>
          <w:szCs w:val="28"/>
          <w14:ligatures w14:val="standardContextual"/>
        </w:rPr>
        <mc:AlternateContent>
          <mc:Choice Requires="wps">
            <w:drawing>
              <wp:anchor distT="0" distB="0" distL="114300" distR="114300" simplePos="0" relativeHeight="251655168" behindDoc="0" locked="0" layoutInCell="1" allowOverlap="1" wp14:anchorId="1EA297D3" wp14:editId="146AFEE7">
                <wp:simplePos x="0" y="0"/>
                <wp:positionH relativeFrom="column">
                  <wp:posOffset>1378886</wp:posOffset>
                </wp:positionH>
                <wp:positionV relativeFrom="paragraph">
                  <wp:posOffset>5586957</wp:posOffset>
                </wp:positionV>
                <wp:extent cx="0" cy="702000"/>
                <wp:effectExtent l="88900" t="12700" r="88900" b="22225"/>
                <wp:wrapNone/>
                <wp:docPr id="254137475" name="Google Shape;163;p18">
                  <a:extLst xmlns:a="http://schemas.openxmlformats.org/drawingml/2006/main">
                    <a:ext uri="{FF2B5EF4-FFF2-40B4-BE49-F238E27FC236}">
                      <a16:creationId xmlns:a16="http://schemas.microsoft.com/office/drawing/2014/main" id="{13BE9220-C8F1-D158-5D1B-73B2BFB5D9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02000"/>
                        </a:xfrm>
                        <a:prstGeom prst="straightConnector1">
                          <a:avLst/>
                        </a:prstGeom>
                        <a:noFill/>
                        <a:ln w="25400" cap="rnd" cmpd="sng">
                          <a:solidFill>
                            <a:srgbClr val="858585"/>
                          </a:solidFill>
                          <a:prstDash val="solid"/>
                          <a:miter lim="800000"/>
                          <a:headEnd type="none" w="sm" len="sm"/>
                          <a:tailEnd type="arrow" w="med" len="med"/>
                        </a:ln>
                      </wps:spPr>
                      <wps:bodyPr/>
                    </wps:wsp>
                  </a:graphicData>
                </a:graphic>
              </wp:anchor>
            </w:drawing>
          </mc:Choice>
          <mc:Fallback>
            <w:pict>
              <v:shapetype w14:anchorId="0EA1A811" id="_x0000_t32" coordsize="21600,21600" o:spt="32" o:oned="t" path="m,l21600,21600e" filled="f">
                <v:path arrowok="t" fillok="f" o:connecttype="none"/>
                <o:lock v:ext="edit" shapetype="t"/>
              </v:shapetype>
              <v:shape id="Google Shape;163;p18" o:spid="_x0000_s1026" type="#_x0000_t32" style="position:absolute;margin-left:108.55pt;margin-top:439.9pt;width:0;height:55.3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" strokecolor="#858585" strokeweight="2pt">
                <v:stroke startarrowwidth="narrow" startarrowlength="short" endarrow="open" joinstyle="miter" endcap="round"/>
                <o:lock v:ext="edit" shapetype="f"/>
              </v:shape>
            </w:pict>
          </mc:Fallback>
        </mc:AlternateContent>
      </w:r>
      <w:r w:rsidRPr="00DD38CD">
        <w:rPr>
          <w:rFonts w:ascii="Calibri" w:hAnsi="Calibri" w:cs="Calibri"/>
          <w:b/>
          <w:bCs/>
          <w:noProof/>
          <w:sz w:val="28"/>
          <w:szCs w:val="28"/>
          <w14:ligatures w14:val="standardContextual"/>
        </w:rPr>
        <mc:AlternateContent>
          <mc:Choice Requires="wps">
            <w:drawing>
              <wp:anchor distT="0" distB="0" distL="114300" distR="114300" simplePos="0" relativeHeight="251663360" behindDoc="0" locked="0" layoutInCell="1" allowOverlap="1" wp14:anchorId="019C56C1" wp14:editId="2A970D94">
                <wp:simplePos x="0" y="0"/>
                <wp:positionH relativeFrom="column">
                  <wp:posOffset>780027</wp:posOffset>
                </wp:positionH>
                <wp:positionV relativeFrom="paragraph">
                  <wp:posOffset>5548005</wp:posOffset>
                </wp:positionV>
                <wp:extent cx="2267972" cy="965457"/>
                <wp:effectExtent l="0" t="0" r="0" b="0"/>
                <wp:wrapNone/>
                <wp:docPr id="686989620" name="Google Shape;130;p18">
                  <a:extLst xmlns:a="http://schemas.openxmlformats.org/drawingml/2006/main">
                    <a:ext uri="{FF2B5EF4-FFF2-40B4-BE49-F238E27FC236}">
                      <a16:creationId xmlns:a16="http://schemas.microsoft.com/office/drawing/2014/main" id="{3D7F8CC5-5938-C35D-DFF7-7DCD0B990CCC}"/>
                    </a:ext>
                  </a:extLst>
                </wp:docPr>
                <wp:cNvGraphicFramePr/>
                <a:graphic xmlns:a="http://schemas.openxmlformats.org/drawingml/2006/main">
                  <a:graphicData uri="http://schemas.microsoft.com/office/word/2010/wordprocessingShape">
                    <wps:wsp>
                      <wps:cNvSpPr txBox="1"/>
                      <wps:spPr>
                        <a:xfrm>
                          <a:off x="0" y="0"/>
                          <a:ext cx="2267972" cy="965457"/>
                        </a:xfrm>
                        <a:prstGeom prst="rect">
                          <a:avLst/>
                        </a:prstGeom>
                        <a:noFill/>
                        <a:ln>
                          <a:noFill/>
                        </a:ln>
                      </wps:spPr>
                      <wps:txbx>
                        <w:txbxContent>
                          <w:p w14:paraId="69DEEAEC" w14:textId="77777777" w:rsidR="00D63EDA" w:rsidRDefault="00D63EDA" w:rsidP="00D63EDA">
                            <w:pPr>
                              <w:jc w:val="center"/>
                              <w:rPr>
                                <w:color w:val="FFFFFF"/>
                                <w:sz w:val="44"/>
                                <w:szCs w:val="44"/>
                                <w:lang w:val="en-US"/>
                              </w:rPr>
                            </w:pPr>
                            <w:r>
                              <w:rPr>
                                <w:color w:val="FFFFFF"/>
                                <w:sz w:val="44"/>
                                <w:szCs w:val="44"/>
                                <w:lang w:val="en-US"/>
                              </w:rPr>
                              <w:t>SC/DH to report back to VC with action taken</w:t>
                            </w:r>
                          </w:p>
                        </w:txbxContent>
                      </wps:txbx>
                      <wps:bodyPr spcFirstLastPara="1" wrap="square" lIns="137138" tIns="68550" rIns="137138" bIns="68550" anchor="ctr" anchorCtr="0">
                        <a:noAutofit/>
                      </wps:bodyPr>
                    </wps:wsp>
                  </a:graphicData>
                </a:graphic>
              </wp:anchor>
            </w:drawing>
          </mc:Choice>
          <mc:Fallback>
            <w:pict>
              <v:shapetype w14:anchorId="019C56C1" id="_x0000_t202" coordsize="21600,21600" o:spt="202" path="m,l,21600r21600,l21600,xe">
                <v:stroke joinstyle="miter"/>
                <v:path gradientshapeok="t" o:connecttype="rect"/>
              </v:shapetype>
              <v:shape id="Google Shape;130;p18" o:spid="_x0000_s1026" type="#_x0000_t202" style="position:absolute;margin-left:61.4pt;margin-top:436.85pt;width:178.6pt;height: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" filled="f" stroked="f">
                <v:textbox inset="3.80939mm,1.90417mm,3.80939mm,1.90417mm">
                  <w:txbxContent>
                    <w:p w14:paraId="69DEEAEC" w14:textId="77777777" w:rsidR="00D63EDA" w:rsidRDefault="00D63EDA" w:rsidP="00D63EDA">
                      <w:pPr>
                        <w:jc w:val="center"/>
                        <w:rPr>
                          <w:color w:val="FFFFFF"/>
                          <w:sz w:val="44"/>
                          <w:szCs w:val="44"/>
                          <w:lang w:val="en-US"/>
                        </w:rPr>
                      </w:pPr>
                      <w:r>
                        <w:rPr>
                          <w:color w:val="FFFFFF"/>
                          <w:sz w:val="44"/>
                          <w:szCs w:val="44"/>
                          <w:lang w:val="en-US"/>
                        </w:rPr>
                        <w:t>SC/DH to report back to VC with action taken</w:t>
                      </w:r>
                    </w:p>
                  </w:txbxContent>
                </v:textbox>
              </v:shape>
            </w:pict>
          </mc:Fallback>
        </mc:AlternateContent>
      </w:r>
      <w:r w:rsidR="00DD38CD" w:rsidRPr="00DD38CD">
        <w:rPr>
          <w:rFonts w:ascii="Calibri" w:hAnsi="Calibri" w:cs="Calibri"/>
          <w:b/>
          <w:bCs/>
          <w:sz w:val="28"/>
          <w:szCs w:val="28"/>
        </w:rPr>
        <w:t>Process for LACT reports</w:t>
      </w:r>
    </w:p>
    <w:p w14:paraId="69EE6F60" w14:textId="405D558A" w:rsidR="00DD38CD" w:rsidRDefault="00DD38CD">
      <w:r>
        <w:rPr>
          <w:noProof/>
          <w14:ligatures w14:val="standardContextual"/>
        </w:rPr>
        <w:drawing>
          <wp:inline distT="0" distB="0" distL="0" distR="0" wp14:anchorId="57A7533E" wp14:editId="659FED98">
            <wp:extent cx="6273209" cy="3540744"/>
            <wp:effectExtent l="0" t="0" r="635" b="3175"/>
            <wp:docPr id="629578187" name="Picture 2" descr="A diagram of a company's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578187" name="Picture 2" descr="A diagram of a company's compan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288463" cy="3549354"/>
                    </a:xfrm>
                    <a:prstGeom prst="rect">
                      <a:avLst/>
                    </a:prstGeom>
                  </pic:spPr>
                </pic:pic>
              </a:graphicData>
            </a:graphic>
          </wp:inline>
        </w:drawing>
      </w:r>
    </w:p>
    <w:sectPr w:rsidR="00DD38CD" w:rsidSect="00E878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n-e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5682"/>
    <w:multiLevelType w:val="hybridMultilevel"/>
    <w:tmpl w:val="0F7A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939B9"/>
    <w:multiLevelType w:val="hybridMultilevel"/>
    <w:tmpl w:val="658C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80C77"/>
    <w:multiLevelType w:val="hybridMultilevel"/>
    <w:tmpl w:val="D1BE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37F1B"/>
    <w:multiLevelType w:val="hybridMultilevel"/>
    <w:tmpl w:val="6CD49EAC"/>
    <w:lvl w:ilvl="0" w:tplc="9998CAE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0E65FA"/>
    <w:multiLevelType w:val="hybridMultilevel"/>
    <w:tmpl w:val="02C0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421315">
    <w:abstractNumId w:val="3"/>
  </w:num>
  <w:num w:numId="2" w16cid:durableId="1347561761">
    <w:abstractNumId w:val="2"/>
  </w:num>
  <w:num w:numId="3" w16cid:durableId="1875997314">
    <w:abstractNumId w:val="4"/>
  </w:num>
  <w:num w:numId="4" w16cid:durableId="57360948">
    <w:abstractNumId w:val="0"/>
  </w:num>
  <w:num w:numId="5" w16cid:durableId="1221360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01"/>
    <w:rsid w:val="00070222"/>
    <w:rsid w:val="00072FB5"/>
    <w:rsid w:val="00074158"/>
    <w:rsid w:val="00075818"/>
    <w:rsid w:val="0015756E"/>
    <w:rsid w:val="002B7C7B"/>
    <w:rsid w:val="002C3354"/>
    <w:rsid w:val="00316501"/>
    <w:rsid w:val="00380AD7"/>
    <w:rsid w:val="00413557"/>
    <w:rsid w:val="004C0911"/>
    <w:rsid w:val="004D519E"/>
    <w:rsid w:val="005C14B1"/>
    <w:rsid w:val="005E79BF"/>
    <w:rsid w:val="00671462"/>
    <w:rsid w:val="006815CE"/>
    <w:rsid w:val="00994369"/>
    <w:rsid w:val="009B72A2"/>
    <w:rsid w:val="009D5581"/>
    <w:rsid w:val="00A04B64"/>
    <w:rsid w:val="00A66CC1"/>
    <w:rsid w:val="00BB4610"/>
    <w:rsid w:val="00C46220"/>
    <w:rsid w:val="00D52F35"/>
    <w:rsid w:val="00D63EDA"/>
    <w:rsid w:val="00D70387"/>
    <w:rsid w:val="00DD1DFB"/>
    <w:rsid w:val="00DD38CD"/>
    <w:rsid w:val="00E564F2"/>
    <w:rsid w:val="00E87893"/>
    <w:rsid w:val="00ED34D9"/>
    <w:rsid w:val="00ED50F7"/>
    <w:rsid w:val="00EF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56D9"/>
  <w14:defaultImageDpi w14:val="32767"/>
  <w15:chartTrackingRefBased/>
  <w15:docId w15:val="{CA9003B6-277F-2048-889C-8DA486CB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16501"/>
    <w:pPr>
      <w:spacing w:after="160" w:line="259" w:lineRule="auto"/>
    </w:pPr>
    <w:rPr>
      <w:kern w:val="0"/>
      <w:sz w:val="22"/>
      <w:szCs w:val="22"/>
      <w:lang w:val="en-CA"/>
      <w14:ligatures w14:val="none"/>
    </w:rPr>
  </w:style>
  <w:style w:type="paragraph" w:styleId="Heading1">
    <w:name w:val="heading 1"/>
    <w:basedOn w:val="Normal"/>
    <w:next w:val="Normal"/>
    <w:link w:val="Heading1Char"/>
    <w:uiPriority w:val="9"/>
    <w:qFormat/>
    <w:rsid w:val="00316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5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5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5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5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501"/>
    <w:rPr>
      <w:rFonts w:eastAsiaTheme="majorEastAsia" w:cstheme="majorBidi"/>
      <w:color w:val="272727" w:themeColor="text1" w:themeTint="D8"/>
    </w:rPr>
  </w:style>
  <w:style w:type="paragraph" w:styleId="Title">
    <w:name w:val="Title"/>
    <w:basedOn w:val="Normal"/>
    <w:next w:val="Normal"/>
    <w:link w:val="TitleChar"/>
    <w:uiPriority w:val="10"/>
    <w:qFormat/>
    <w:rsid w:val="003165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501"/>
    <w:pPr>
      <w:spacing w:before="160"/>
      <w:jc w:val="center"/>
    </w:pPr>
    <w:rPr>
      <w:i/>
      <w:iCs/>
      <w:color w:val="404040" w:themeColor="text1" w:themeTint="BF"/>
    </w:rPr>
  </w:style>
  <w:style w:type="character" w:customStyle="1" w:styleId="QuoteChar">
    <w:name w:val="Quote Char"/>
    <w:basedOn w:val="DefaultParagraphFont"/>
    <w:link w:val="Quote"/>
    <w:uiPriority w:val="29"/>
    <w:rsid w:val="00316501"/>
    <w:rPr>
      <w:i/>
      <w:iCs/>
      <w:color w:val="404040" w:themeColor="text1" w:themeTint="BF"/>
    </w:rPr>
  </w:style>
  <w:style w:type="paragraph" w:styleId="ListParagraph">
    <w:name w:val="List Paragraph"/>
    <w:basedOn w:val="Normal"/>
    <w:uiPriority w:val="34"/>
    <w:qFormat/>
    <w:rsid w:val="00316501"/>
    <w:pPr>
      <w:ind w:left="720"/>
      <w:contextualSpacing/>
    </w:pPr>
  </w:style>
  <w:style w:type="character" w:styleId="IntenseEmphasis">
    <w:name w:val="Intense Emphasis"/>
    <w:basedOn w:val="DefaultParagraphFont"/>
    <w:uiPriority w:val="21"/>
    <w:qFormat/>
    <w:rsid w:val="00316501"/>
    <w:rPr>
      <w:i/>
      <w:iCs/>
      <w:color w:val="0F4761" w:themeColor="accent1" w:themeShade="BF"/>
    </w:rPr>
  </w:style>
  <w:style w:type="paragraph" w:styleId="IntenseQuote">
    <w:name w:val="Intense Quote"/>
    <w:basedOn w:val="Normal"/>
    <w:next w:val="Normal"/>
    <w:link w:val="IntenseQuoteChar"/>
    <w:uiPriority w:val="30"/>
    <w:qFormat/>
    <w:rsid w:val="00316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501"/>
    <w:rPr>
      <w:i/>
      <w:iCs/>
      <w:color w:val="0F4761" w:themeColor="accent1" w:themeShade="BF"/>
    </w:rPr>
  </w:style>
  <w:style w:type="character" w:styleId="IntenseReference">
    <w:name w:val="Intense Reference"/>
    <w:basedOn w:val="DefaultParagraphFont"/>
    <w:uiPriority w:val="32"/>
    <w:qFormat/>
    <w:rsid w:val="00316501"/>
    <w:rPr>
      <w:b/>
      <w:bCs/>
      <w:smallCaps/>
      <w:color w:val="0F4761" w:themeColor="accent1" w:themeShade="BF"/>
      <w:spacing w:val="5"/>
    </w:rPr>
  </w:style>
  <w:style w:type="character" w:styleId="CommentReference">
    <w:name w:val="annotation reference"/>
    <w:basedOn w:val="DefaultParagraphFont"/>
    <w:uiPriority w:val="99"/>
    <w:semiHidden/>
    <w:unhideWhenUsed/>
    <w:rsid w:val="00316501"/>
    <w:rPr>
      <w:sz w:val="16"/>
      <w:szCs w:val="16"/>
    </w:rPr>
  </w:style>
  <w:style w:type="table" w:styleId="GridTable4-Accent1">
    <w:name w:val="Grid Table 4 Accent 1"/>
    <w:basedOn w:val="TableNormal"/>
    <w:uiPriority w:val="49"/>
    <w:rsid w:val="00E564F2"/>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77118">
      <w:bodyDiv w:val="1"/>
      <w:marLeft w:val="0"/>
      <w:marRight w:val="0"/>
      <w:marTop w:val="0"/>
      <w:marBottom w:val="0"/>
      <w:divBdr>
        <w:top w:val="none" w:sz="0" w:space="0" w:color="auto"/>
        <w:left w:val="none" w:sz="0" w:space="0" w:color="auto"/>
        <w:bottom w:val="none" w:sz="0" w:space="0" w:color="auto"/>
        <w:right w:val="none" w:sz="0" w:space="0" w:color="auto"/>
      </w:divBdr>
      <w:divsChild>
        <w:div w:id="1237546560">
          <w:marLeft w:val="446"/>
          <w:marRight w:val="0"/>
          <w:marTop w:val="0"/>
          <w:marBottom w:val="0"/>
          <w:divBdr>
            <w:top w:val="none" w:sz="0" w:space="0" w:color="auto"/>
            <w:left w:val="none" w:sz="0" w:space="0" w:color="auto"/>
            <w:bottom w:val="none" w:sz="0" w:space="0" w:color="auto"/>
            <w:right w:val="none" w:sz="0" w:space="0" w:color="auto"/>
          </w:divBdr>
        </w:div>
        <w:div w:id="114982521">
          <w:marLeft w:val="446"/>
          <w:marRight w:val="0"/>
          <w:marTop w:val="0"/>
          <w:marBottom w:val="0"/>
          <w:divBdr>
            <w:top w:val="none" w:sz="0" w:space="0" w:color="auto"/>
            <w:left w:val="none" w:sz="0" w:space="0" w:color="auto"/>
            <w:bottom w:val="none" w:sz="0" w:space="0" w:color="auto"/>
            <w:right w:val="none" w:sz="0" w:space="0" w:color="auto"/>
          </w:divBdr>
        </w:div>
        <w:div w:id="2036883035">
          <w:marLeft w:val="446"/>
          <w:marRight w:val="0"/>
          <w:marTop w:val="0"/>
          <w:marBottom w:val="0"/>
          <w:divBdr>
            <w:top w:val="none" w:sz="0" w:space="0" w:color="auto"/>
            <w:left w:val="none" w:sz="0" w:space="0" w:color="auto"/>
            <w:bottom w:val="none" w:sz="0" w:space="0" w:color="auto"/>
            <w:right w:val="none" w:sz="0" w:space="0" w:color="auto"/>
          </w:divBdr>
        </w:div>
        <w:div w:id="1670064174">
          <w:marLeft w:val="446"/>
          <w:marRight w:val="0"/>
          <w:marTop w:val="0"/>
          <w:marBottom w:val="0"/>
          <w:divBdr>
            <w:top w:val="none" w:sz="0" w:space="0" w:color="auto"/>
            <w:left w:val="none" w:sz="0" w:space="0" w:color="auto"/>
            <w:bottom w:val="none" w:sz="0" w:space="0" w:color="auto"/>
            <w:right w:val="none" w:sz="0" w:space="0" w:color="auto"/>
          </w:divBdr>
        </w:div>
        <w:div w:id="667094990">
          <w:marLeft w:val="446"/>
          <w:marRight w:val="0"/>
          <w:marTop w:val="0"/>
          <w:marBottom w:val="0"/>
          <w:divBdr>
            <w:top w:val="none" w:sz="0" w:space="0" w:color="auto"/>
            <w:left w:val="none" w:sz="0" w:space="0" w:color="auto"/>
            <w:bottom w:val="none" w:sz="0" w:space="0" w:color="auto"/>
            <w:right w:val="none" w:sz="0" w:space="0" w:color="auto"/>
          </w:divBdr>
        </w:div>
        <w:div w:id="1630209921">
          <w:marLeft w:val="446"/>
          <w:marRight w:val="0"/>
          <w:marTop w:val="0"/>
          <w:marBottom w:val="0"/>
          <w:divBdr>
            <w:top w:val="none" w:sz="0" w:space="0" w:color="auto"/>
            <w:left w:val="none" w:sz="0" w:space="0" w:color="auto"/>
            <w:bottom w:val="none" w:sz="0" w:space="0" w:color="auto"/>
            <w:right w:val="none" w:sz="0" w:space="0" w:color="auto"/>
          </w:divBdr>
        </w:div>
        <w:div w:id="1850559861">
          <w:marLeft w:val="446"/>
          <w:marRight w:val="0"/>
          <w:marTop w:val="0"/>
          <w:marBottom w:val="0"/>
          <w:divBdr>
            <w:top w:val="none" w:sz="0" w:space="0" w:color="auto"/>
            <w:left w:val="none" w:sz="0" w:space="0" w:color="auto"/>
            <w:bottom w:val="none" w:sz="0" w:space="0" w:color="auto"/>
            <w:right w:val="none" w:sz="0" w:space="0" w:color="auto"/>
          </w:divBdr>
        </w:div>
        <w:div w:id="2025550618">
          <w:marLeft w:val="446"/>
          <w:marRight w:val="0"/>
          <w:marTop w:val="0"/>
          <w:marBottom w:val="0"/>
          <w:divBdr>
            <w:top w:val="none" w:sz="0" w:space="0" w:color="auto"/>
            <w:left w:val="none" w:sz="0" w:space="0" w:color="auto"/>
            <w:bottom w:val="none" w:sz="0" w:space="0" w:color="auto"/>
            <w:right w:val="none" w:sz="0" w:space="0" w:color="auto"/>
          </w:divBdr>
        </w:div>
        <w:div w:id="126688714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Merbaum</dc:creator>
  <cp:keywords/>
  <dc:description/>
  <cp:lastModifiedBy>Allyson Merbaum</cp:lastModifiedBy>
  <cp:revision>9</cp:revision>
  <dcterms:created xsi:type="dcterms:W3CDTF">2024-07-23T01:35:00Z</dcterms:created>
  <dcterms:modified xsi:type="dcterms:W3CDTF">2025-02-11T02:23:00Z</dcterms:modified>
</cp:coreProperties>
</file>